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A0" w:rsidRDefault="004B54A0">
      <w:pPr>
        <w:pStyle w:val="ConsPlusTitle"/>
        <w:jc w:val="center"/>
      </w:pPr>
      <w:bookmarkStart w:id="0" w:name="_GoBack"/>
      <w:bookmarkEnd w:id="0"/>
      <w:r>
        <w:t>НОВОКУЗНЕЦКИЙ ГОРОДСКОЙ СОВЕТ НАРОДНЫХ ДЕПУТАТОВ</w:t>
      </w:r>
    </w:p>
    <w:p w:rsidR="004B54A0" w:rsidRDefault="004B54A0">
      <w:pPr>
        <w:pStyle w:val="ConsPlusTitle"/>
        <w:jc w:val="center"/>
      </w:pPr>
    </w:p>
    <w:p w:rsidR="004B54A0" w:rsidRDefault="004B54A0">
      <w:pPr>
        <w:pStyle w:val="ConsPlusTitle"/>
        <w:jc w:val="center"/>
      </w:pPr>
      <w:r>
        <w:t>РЕШЕНИЕ</w:t>
      </w:r>
    </w:p>
    <w:p w:rsidR="004B54A0" w:rsidRDefault="004B54A0">
      <w:pPr>
        <w:pStyle w:val="ConsPlusTitle"/>
        <w:jc w:val="center"/>
      </w:pPr>
      <w:r>
        <w:t>от 2 марта 2015 г. N 2/21</w:t>
      </w:r>
    </w:p>
    <w:p w:rsidR="004B54A0" w:rsidRDefault="004B54A0">
      <w:pPr>
        <w:pStyle w:val="ConsPlusTitle"/>
        <w:jc w:val="center"/>
      </w:pPr>
    </w:p>
    <w:p w:rsidR="004B54A0" w:rsidRDefault="004B54A0">
      <w:pPr>
        <w:pStyle w:val="ConsPlusTitle"/>
        <w:jc w:val="center"/>
      </w:pPr>
      <w:r>
        <w:t xml:space="preserve">ОБ УТВЕРЖДЕНИИ МЕСТНЫХ НОРМАТИВОВ </w:t>
      </w:r>
      <w:proofErr w:type="gramStart"/>
      <w:r>
        <w:t>ГРАДОСТРОИТЕЛЬНОГО</w:t>
      </w:r>
      <w:proofErr w:type="gramEnd"/>
    </w:p>
    <w:p w:rsidR="004B54A0" w:rsidRDefault="004B54A0">
      <w:pPr>
        <w:pStyle w:val="ConsPlusTitle"/>
        <w:jc w:val="center"/>
      </w:pPr>
      <w:r>
        <w:t>ПРОЕКТИРОВАНИЯ НОВОКУЗНЕЦКОГО ГОРОДСКОГО ОКРУГА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  <w:r>
        <w:t>Принято</w:t>
      </w:r>
    </w:p>
    <w:p w:rsidR="004B54A0" w:rsidRDefault="004B54A0">
      <w:pPr>
        <w:pStyle w:val="ConsPlusNormal"/>
        <w:jc w:val="right"/>
      </w:pPr>
      <w:r>
        <w:t>городским Советом народных депутатов</w:t>
      </w:r>
    </w:p>
    <w:p w:rsidR="004B54A0" w:rsidRDefault="004B54A0">
      <w:pPr>
        <w:pStyle w:val="ConsPlusNormal"/>
        <w:jc w:val="right"/>
      </w:pPr>
      <w:r>
        <w:t>24 февраля 2015 года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ind w:firstLine="540"/>
        <w:jc w:val="both"/>
      </w:pPr>
      <w:r>
        <w:t xml:space="preserve">В соответствии с Градостроительным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>
          <w:rPr>
            <w:color w:val="0000FF"/>
          </w:rPr>
          <w:t>статьей 28</w:t>
        </w:r>
      </w:hyperlink>
      <w:r>
        <w:t xml:space="preserve"> Устава Новокузнецкого городского округа, Новокузнецкий городской Совет народных депутатов решил:</w:t>
      </w:r>
    </w:p>
    <w:p w:rsidR="004B54A0" w:rsidRDefault="004B54A0">
      <w:pPr>
        <w:pStyle w:val="ConsPlusNormal"/>
        <w:ind w:firstLine="540"/>
        <w:jc w:val="both"/>
      </w:pPr>
      <w:r>
        <w:t xml:space="preserve">1. Утвердить местные </w:t>
      </w:r>
      <w:hyperlink w:anchor="P36" w:history="1">
        <w:r>
          <w:rPr>
            <w:color w:val="0000FF"/>
          </w:rPr>
          <w:t>нормативы</w:t>
        </w:r>
      </w:hyperlink>
      <w:r>
        <w:t xml:space="preserve"> градостроительного проектирования Новокузнецкого городского округа согласно приложению к настоящему Решению.</w:t>
      </w:r>
    </w:p>
    <w:p w:rsidR="004B54A0" w:rsidRDefault="004B54A0">
      <w:pPr>
        <w:pStyle w:val="ConsPlusNormal"/>
        <w:ind w:firstLine="540"/>
        <w:jc w:val="both"/>
      </w:pPr>
      <w:r>
        <w:t>2. Настоящее Решение вступает в силу со дня, следующего за днем его официального опубликования.</w:t>
      </w:r>
    </w:p>
    <w:p w:rsidR="004B54A0" w:rsidRDefault="004B54A0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администрацию города Новокузнецка и комитеты Новокузнецкого городского Совета народных депутатов по развитию местного самоуправления и безопасности (О.И. </w:t>
      </w:r>
      <w:proofErr w:type="spellStart"/>
      <w:r>
        <w:t>Кшижинская</w:t>
      </w:r>
      <w:proofErr w:type="spellEnd"/>
      <w:r>
        <w:t>) и по развитию городского хозяйства и экологии (А.Н. Кузнецов).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  <w:r>
        <w:t>Председатель</w:t>
      </w:r>
    </w:p>
    <w:p w:rsidR="004B54A0" w:rsidRDefault="004B54A0">
      <w:pPr>
        <w:pStyle w:val="ConsPlusNormal"/>
        <w:jc w:val="right"/>
      </w:pPr>
      <w:r>
        <w:t>Новокузнецкого городского Совета</w:t>
      </w:r>
    </w:p>
    <w:p w:rsidR="004B54A0" w:rsidRDefault="004B54A0">
      <w:pPr>
        <w:pStyle w:val="ConsPlusNormal"/>
        <w:jc w:val="right"/>
      </w:pPr>
      <w:r>
        <w:t>народных депутатов</w:t>
      </w:r>
    </w:p>
    <w:p w:rsidR="004B54A0" w:rsidRDefault="004B54A0">
      <w:pPr>
        <w:pStyle w:val="ConsPlusNormal"/>
        <w:jc w:val="right"/>
      </w:pPr>
      <w:r>
        <w:t>С.И.КОРНЕЕВ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  <w:r>
        <w:t>Глава</w:t>
      </w:r>
    </w:p>
    <w:p w:rsidR="004B54A0" w:rsidRDefault="004B54A0">
      <w:pPr>
        <w:pStyle w:val="ConsPlusNormal"/>
        <w:jc w:val="right"/>
      </w:pPr>
      <w:r>
        <w:t>города Новокузнецка</w:t>
      </w:r>
    </w:p>
    <w:p w:rsidR="004B54A0" w:rsidRDefault="004B54A0">
      <w:pPr>
        <w:pStyle w:val="ConsPlusNormal"/>
        <w:jc w:val="right"/>
      </w:pPr>
      <w:r>
        <w:t>С.Н.КУЗНЕЦОВ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  <w:r>
        <w:t>Приложение</w:t>
      </w:r>
    </w:p>
    <w:p w:rsidR="004B54A0" w:rsidRDefault="004B54A0">
      <w:pPr>
        <w:pStyle w:val="ConsPlusNormal"/>
        <w:jc w:val="right"/>
      </w:pPr>
      <w:r>
        <w:t xml:space="preserve">к Решению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4B54A0" w:rsidRDefault="004B54A0">
      <w:pPr>
        <w:pStyle w:val="ConsPlusNormal"/>
        <w:jc w:val="right"/>
      </w:pPr>
      <w:r>
        <w:t>Совета народных депутатов</w:t>
      </w:r>
    </w:p>
    <w:p w:rsidR="004B54A0" w:rsidRDefault="004B54A0">
      <w:pPr>
        <w:pStyle w:val="ConsPlusNormal"/>
        <w:jc w:val="right"/>
      </w:pPr>
      <w:r>
        <w:t>от 02.03.2015 N 2/21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Title"/>
        <w:jc w:val="center"/>
      </w:pPr>
      <w:bookmarkStart w:id="1" w:name="P36"/>
      <w:bookmarkEnd w:id="1"/>
      <w:r>
        <w:t>МЕСТНЫЕ НОРМАТИВЫ</w:t>
      </w:r>
    </w:p>
    <w:p w:rsidR="004B54A0" w:rsidRDefault="004B54A0">
      <w:pPr>
        <w:pStyle w:val="ConsPlusTitle"/>
        <w:jc w:val="center"/>
      </w:pPr>
      <w:r>
        <w:t>ГРАДОСТРОИТЕЛЬНОГО ПРОЕКТИРОВАНИЯ НОВОКУЗНЕЦКОГО</w:t>
      </w:r>
    </w:p>
    <w:p w:rsidR="004B54A0" w:rsidRDefault="004B54A0">
      <w:pPr>
        <w:pStyle w:val="ConsPlusTitle"/>
        <w:jc w:val="center"/>
      </w:pPr>
      <w:r>
        <w:t>ГОРОДСКОГО ОКРУГА</w:t>
      </w:r>
    </w:p>
    <w:p w:rsidR="004B54A0" w:rsidRDefault="004B54A0">
      <w:pPr>
        <w:pStyle w:val="ConsPlusNormal"/>
        <w:ind w:firstLine="540"/>
        <w:jc w:val="both"/>
      </w:pPr>
    </w:p>
    <w:p w:rsidR="004B54A0" w:rsidRDefault="004B54A0">
      <w:pPr>
        <w:pStyle w:val="ConsPlusNormal"/>
        <w:ind w:firstLine="540"/>
        <w:jc w:val="both"/>
      </w:pPr>
      <w:r>
        <w:t>1. В целях обеспечения благоприятных условий жизнедеятельности человека на территории Новокузнецкого городского округа настоящие местные нормативы градостроительного проектирования Новокузнецкого городского округа (далее - местные нормативы) устанавливают совокупность расчетных показателей:</w:t>
      </w:r>
    </w:p>
    <w:p w:rsidR="004B54A0" w:rsidRDefault="004B54A0">
      <w:pPr>
        <w:pStyle w:val="ConsPlusNormal"/>
        <w:ind w:firstLine="540"/>
        <w:jc w:val="both"/>
      </w:pPr>
      <w:r>
        <w:t xml:space="preserve">минимально допустимого уровня обеспеченности объектами местного значения, указанными в </w:t>
      </w:r>
      <w:hyperlink r:id="rId8" w:history="1">
        <w:r>
          <w:rPr>
            <w:color w:val="0000FF"/>
          </w:rPr>
          <w:t>части 4 статьи 29.2</w:t>
        </w:r>
      </w:hyperlink>
      <w:r>
        <w:t xml:space="preserve"> Градостроительного кодекса Российской Федерации (далее - объекты местного значения);</w:t>
      </w:r>
    </w:p>
    <w:p w:rsidR="004B54A0" w:rsidRDefault="004B54A0">
      <w:pPr>
        <w:pStyle w:val="ConsPlusNormal"/>
        <w:ind w:firstLine="540"/>
        <w:jc w:val="both"/>
      </w:pPr>
      <w:r>
        <w:t>максимально допустимого уровня территориальной доступности таких объектов местного значения для населения Новокузнецкого городского округа.</w:t>
      </w:r>
    </w:p>
    <w:p w:rsidR="004B54A0" w:rsidRDefault="004B54A0">
      <w:pPr>
        <w:pStyle w:val="ConsPlusNormal"/>
        <w:ind w:firstLine="540"/>
        <w:jc w:val="both"/>
      </w:pPr>
      <w:r>
        <w:t>2. Для целей настоящих местных нормативов используются следующие понятия:</w:t>
      </w:r>
    </w:p>
    <w:p w:rsidR="004B54A0" w:rsidRDefault="004B54A0">
      <w:pPr>
        <w:pStyle w:val="ConsPlusNormal"/>
        <w:ind w:firstLine="540"/>
        <w:jc w:val="both"/>
      </w:pPr>
      <w:r>
        <w:t>расчетный показатель - количественная характеристика, отражающая уровень обеспеченности населения Новокузнецкого городского округа объектами местного значения и территориальной доступности таких объектов для населения;</w:t>
      </w:r>
    </w:p>
    <w:p w:rsidR="004B54A0" w:rsidRDefault="004B54A0">
      <w:pPr>
        <w:pStyle w:val="ConsPlusNormal"/>
        <w:ind w:firstLine="540"/>
        <w:jc w:val="both"/>
      </w:pPr>
      <w:r>
        <w:t>обеспеченность объектами местного значения - показатель, устанавливающий количество и (или) мощность, и (или) площадь объектов местного значения в зависимости от численности населения;</w:t>
      </w:r>
    </w:p>
    <w:p w:rsidR="004B54A0" w:rsidRDefault="004B54A0">
      <w:pPr>
        <w:pStyle w:val="ConsPlusNormal"/>
        <w:ind w:firstLine="540"/>
        <w:jc w:val="both"/>
      </w:pPr>
      <w:r>
        <w:t>территориальная доступность объектов местного значения - показатель территориальной или временной удаленности места расположения объекта местного значения от места постоянного или преимущественного проживания граждан на территории Новокузнецкого городского округа;</w:t>
      </w:r>
    </w:p>
    <w:p w:rsidR="004B54A0" w:rsidRDefault="004B54A0">
      <w:pPr>
        <w:pStyle w:val="ConsPlusNormal"/>
        <w:ind w:firstLine="540"/>
        <w:jc w:val="both"/>
      </w:pPr>
      <w:r>
        <w:t xml:space="preserve">объект хранения автомототранспорта - объект местного значения, предназначенный для стоянки и (или) постоянного, временного хранения автомототранспортных средств (в том числе автостоянки, </w:t>
      </w:r>
      <w:proofErr w:type="spellStart"/>
      <w:r>
        <w:t>машино</w:t>
      </w:r>
      <w:proofErr w:type="spellEnd"/>
      <w:r>
        <w:t>-места на автостоянках);</w:t>
      </w:r>
    </w:p>
    <w:p w:rsidR="004B54A0" w:rsidRDefault="004B54A0">
      <w:pPr>
        <w:pStyle w:val="ConsPlusNormal"/>
        <w:ind w:firstLine="540"/>
        <w:jc w:val="both"/>
      </w:pPr>
      <w:r>
        <w:t xml:space="preserve">автостоянка - элемент обустройства автомобильных дорог, ограниченный красными линиями, или специально оборудованное сооружение (часть здания, сооружения), или открытая площадка, предназначенные для стоянки и/или хранения автомототранспортных </w:t>
      </w:r>
      <w:r>
        <w:lastRenderedPageBreak/>
        <w:t>средств;</w:t>
      </w:r>
    </w:p>
    <w:p w:rsidR="004B54A0" w:rsidRDefault="004B54A0">
      <w:pPr>
        <w:pStyle w:val="ConsPlusNormal"/>
        <w:ind w:firstLine="540"/>
        <w:jc w:val="both"/>
      </w:pPr>
      <w:r>
        <w:t>временная автостоянка - автостоянка, предназначенная для хранения автомототранспортных сре</w:t>
      </w:r>
      <w:proofErr w:type="gramStart"/>
      <w:r>
        <w:t>дств ср</w:t>
      </w:r>
      <w:proofErr w:type="gramEnd"/>
      <w:r>
        <w:t>оком менее одних суток, расположенная на земельном участке, прилегающем к территории общего пользования, объектам обслуживания;</w:t>
      </w:r>
    </w:p>
    <w:p w:rsidR="004B54A0" w:rsidRDefault="004B54A0">
      <w:pPr>
        <w:pStyle w:val="ConsPlusNormal"/>
        <w:ind w:firstLine="540"/>
        <w:jc w:val="both"/>
      </w:pPr>
      <w:r>
        <w:t>гостевая автостоянка - автостоянка, не предназначенная для хранения автомототранспортных средств, расположенная на земельном участке, предназначенном для размещения объектов многоэтажной жилой застройки;</w:t>
      </w:r>
    </w:p>
    <w:p w:rsidR="004B54A0" w:rsidRDefault="004B54A0">
      <w:pPr>
        <w:pStyle w:val="ConsPlusNormal"/>
        <w:ind w:firstLine="540"/>
        <w:jc w:val="both"/>
      </w:pPr>
      <w:proofErr w:type="spellStart"/>
      <w:r>
        <w:t>машино</w:t>
      </w:r>
      <w:proofErr w:type="spellEnd"/>
      <w:r>
        <w:t>-место - территория, предназначенная для размещения одного автомототранспортного средства на автостоянке;</w:t>
      </w:r>
    </w:p>
    <w:p w:rsidR="004B54A0" w:rsidRDefault="004B54A0">
      <w:pPr>
        <w:pStyle w:val="ConsPlusNormal"/>
        <w:ind w:firstLine="540"/>
        <w:jc w:val="both"/>
      </w:pPr>
      <w:proofErr w:type="gramStart"/>
      <w:r>
        <w:t>объекты обслуживания - объекты социально-культурной, бытовой, торговой сферы деятельности, в том числе объекты спортивного, образовательного, медицинского, бытового, торгового обслуживания населения;</w:t>
      </w:r>
      <w:proofErr w:type="gramEnd"/>
    </w:p>
    <w:p w:rsidR="004B54A0" w:rsidRDefault="004B54A0">
      <w:pPr>
        <w:pStyle w:val="ConsPlusNormal"/>
        <w:ind w:firstLine="540"/>
        <w:jc w:val="both"/>
      </w:pPr>
      <w:proofErr w:type="gramStart"/>
      <w:r>
        <w:t>элемент планировочной структуры - часть территории Новокузнецкого городского округа, выделенная в проекте планировки территории (в том числе жилой район, микрорайон, квартал, общегородской, специализированный центр, зона массового отдыха населения, улица, дорога, иная территория).</w:t>
      </w:r>
      <w:proofErr w:type="gramEnd"/>
    </w:p>
    <w:p w:rsidR="004B54A0" w:rsidRDefault="004B54A0">
      <w:pPr>
        <w:pStyle w:val="ConsPlusNormal"/>
        <w:ind w:firstLine="540"/>
        <w:jc w:val="both"/>
      </w:pPr>
      <w:proofErr w:type="gramStart"/>
      <w:r>
        <w:t>Иные понятия, используемые в настоящих местных нормативах, применяются в тех же значениях, что и в нормативных правовых актах Российской Федерации, Кемеровской области, муниципальных правовых актах Новокузнецкого городского округа.</w:t>
      </w:r>
      <w:proofErr w:type="gramEnd"/>
    </w:p>
    <w:p w:rsidR="004B54A0" w:rsidRDefault="004B54A0">
      <w:pPr>
        <w:pStyle w:val="ConsPlusNormal"/>
        <w:ind w:firstLine="540"/>
        <w:jc w:val="both"/>
      </w:pPr>
      <w:r>
        <w:t xml:space="preserve">3. </w:t>
      </w:r>
      <w:proofErr w:type="gramStart"/>
      <w:r>
        <w:t>Применяемые на территории Новокузнецкого городского округа расчетные показатели минимально допустимого уровня обеспеченности объектами местного значения Новокузнецкого городского округа и максимально допустимого уровня территориальной доступности таких объектов с обоснованием указанных расчетных показателей соответствуют установленным в нормативах градостроительного проектирования Кемеровской области, утвержденных Постановлением Коллегии Администрации Кемеровской области от 14.10.2009 N 406 "Об утверждении нормативов градостроительного проектирования Кемеровской области" (далее - региональные нормативы), за</w:t>
      </w:r>
      <w:proofErr w:type="gramEnd"/>
      <w:r>
        <w:t xml:space="preserve"> исключением расчетных показателей в области хранения автомототранспорта, указанных в </w:t>
      </w:r>
      <w:hyperlink w:anchor="P56" w:history="1">
        <w:r>
          <w:rPr>
            <w:color w:val="0000FF"/>
          </w:rPr>
          <w:t>пункте 4</w:t>
        </w:r>
      </w:hyperlink>
      <w:r>
        <w:t xml:space="preserve"> настоящих местных нормативов.</w:t>
      </w:r>
    </w:p>
    <w:p w:rsidR="004B54A0" w:rsidRDefault="004B54A0">
      <w:pPr>
        <w:pStyle w:val="ConsPlusNormal"/>
        <w:ind w:firstLine="540"/>
        <w:jc w:val="both"/>
      </w:pPr>
      <w:bookmarkStart w:id="2" w:name="P56"/>
      <w:bookmarkEnd w:id="2"/>
      <w:r>
        <w:t>4. Общая обеспеченность населения гаражами и открытыми стоянками для постоянного хранения автомототранспорта должна составлять не менее 90% от расчетного количества автомототранспортных сре</w:t>
      </w:r>
      <w:proofErr w:type="gramStart"/>
      <w:r>
        <w:t>дств пр</w:t>
      </w:r>
      <w:proofErr w:type="gramEnd"/>
      <w:r>
        <w:t>и пешеходной доступности не более 800 м. Открытые стоянки для временного хранения автомототранспорта предусматриваются из расчета не менее 80% от расчетного количества автомототранспортных средств.</w:t>
      </w:r>
    </w:p>
    <w:p w:rsidR="004B54A0" w:rsidRDefault="004B54A0">
      <w:pPr>
        <w:pStyle w:val="ConsPlusNormal"/>
        <w:ind w:firstLine="540"/>
        <w:jc w:val="both"/>
      </w:pPr>
      <w:r>
        <w:t>Расчетные показатели минимально допустимого уровня обеспеченности объектами хранения автомототранспорта на территории Новокузнецкого городского округа и максимально допустимого уровня территориальной доступности таких объектов для населения:</w:t>
      </w:r>
    </w:p>
    <w:p w:rsidR="004B54A0" w:rsidRDefault="004B54A0">
      <w:pPr>
        <w:pStyle w:val="ConsPlusNormal"/>
        <w:ind w:firstLine="540"/>
        <w:jc w:val="both"/>
      </w:pPr>
      <w:bookmarkStart w:id="3" w:name="P58"/>
      <w:bookmarkEnd w:id="3"/>
      <w:r>
        <w:t xml:space="preserve">а) расчетные показатели минимально допустимого уровня обеспеченности элементов </w:t>
      </w:r>
      <w:r>
        <w:lastRenderedPageBreak/>
        <w:t xml:space="preserve">планировочной структуры </w:t>
      </w:r>
      <w:proofErr w:type="spellStart"/>
      <w:r>
        <w:t>машино</w:t>
      </w:r>
      <w:proofErr w:type="spellEnd"/>
      <w:r>
        <w:t>-местами установлены в размере 532 автомототранспортных средств на 1000 жителей Новокузнецкого городского округа.</w:t>
      </w:r>
    </w:p>
    <w:p w:rsidR="004B54A0" w:rsidRDefault="004B54A0">
      <w:pPr>
        <w:pStyle w:val="ConsPlusNormal"/>
        <w:ind w:firstLine="540"/>
        <w:jc w:val="both"/>
      </w:pPr>
      <w:r>
        <w:t xml:space="preserve">Максимально допустимый уровень территориальной доступности </w:t>
      </w:r>
      <w:proofErr w:type="spellStart"/>
      <w:r>
        <w:t>машино</w:t>
      </w:r>
      <w:proofErr w:type="spellEnd"/>
      <w:r>
        <w:t>-мест на гостевых и (или) временных автостоянках обеспечивается в пределах земельного участка, предназначенного для размещения объекта капитального строительства;</w:t>
      </w:r>
    </w:p>
    <w:p w:rsidR="004B54A0" w:rsidRDefault="004B54A0">
      <w:pPr>
        <w:pStyle w:val="ConsPlusNormal"/>
        <w:ind w:firstLine="540"/>
        <w:jc w:val="both"/>
      </w:pPr>
      <w:bookmarkStart w:id="4" w:name="P60"/>
      <w:bookmarkEnd w:id="4"/>
      <w:r>
        <w:t xml:space="preserve">б) расчетные показатели обеспеченности объектов многоэтажной жилой застройки на территории Новокузнецкого городского округа </w:t>
      </w:r>
      <w:proofErr w:type="spellStart"/>
      <w:r>
        <w:t>машино</w:t>
      </w:r>
      <w:proofErr w:type="spellEnd"/>
      <w:r>
        <w:t>-местами на автостоянках для постоянного хранения автомототранспортных средств определяются с учетом количества квартир и общей площади квартиры, приходящейся на 1 проживающего, по следующей формуле:</w:t>
      </w:r>
    </w:p>
    <w:p w:rsidR="004B54A0" w:rsidRDefault="004B54A0">
      <w:pPr>
        <w:pStyle w:val="ConsPlusNormal"/>
        <w:ind w:firstLine="540"/>
        <w:jc w:val="both"/>
      </w:pPr>
    </w:p>
    <w:p w:rsidR="004B54A0" w:rsidRDefault="004B54A0">
      <w:pPr>
        <w:pStyle w:val="ConsPlusNormal"/>
        <w:jc w:val="center"/>
      </w:pPr>
      <w:r>
        <w:t xml:space="preserve">Количество </w:t>
      </w:r>
      <w:proofErr w:type="spellStart"/>
      <w:r>
        <w:t>машино</w:t>
      </w:r>
      <w:proofErr w:type="spellEnd"/>
      <w:r>
        <w:t>-мест = 1,5 x</w:t>
      </w:r>
      <w:proofErr w:type="gramStart"/>
      <w:r>
        <w:t xml:space="preserve"> А</w:t>
      </w:r>
      <w:proofErr w:type="gramEnd"/>
      <w:r>
        <w:t xml:space="preserve"> + 2 x Б + 2,5 x В,</w:t>
      </w:r>
    </w:p>
    <w:p w:rsidR="004B54A0" w:rsidRDefault="004B54A0">
      <w:pPr>
        <w:pStyle w:val="ConsPlusNormal"/>
        <w:ind w:firstLine="540"/>
        <w:jc w:val="both"/>
      </w:pPr>
    </w:p>
    <w:p w:rsidR="004B54A0" w:rsidRDefault="004B54A0">
      <w:pPr>
        <w:pStyle w:val="ConsPlusNormal"/>
        <w:ind w:firstLine="540"/>
        <w:jc w:val="both"/>
      </w:pPr>
      <w:r>
        <w:t>где:</w:t>
      </w:r>
    </w:p>
    <w:p w:rsidR="004B54A0" w:rsidRDefault="004B54A0">
      <w:pPr>
        <w:pStyle w:val="ConsPlusNormal"/>
        <w:ind w:firstLine="540"/>
        <w:jc w:val="both"/>
      </w:pPr>
      <w:r>
        <w:t>А - количество квартир с D до 30 м</w:t>
      </w:r>
      <w:proofErr w:type="gramStart"/>
      <w:r>
        <w:t>2</w:t>
      </w:r>
      <w:proofErr w:type="gramEnd"/>
      <w:r>
        <w:t xml:space="preserve"> включительно (массовое);</w:t>
      </w:r>
    </w:p>
    <w:p w:rsidR="004B54A0" w:rsidRDefault="004B54A0">
      <w:pPr>
        <w:pStyle w:val="ConsPlusNormal"/>
        <w:ind w:firstLine="540"/>
        <w:jc w:val="both"/>
      </w:pPr>
      <w:r>
        <w:t>Б - количество квартир с D свыше 30 до 45 м</w:t>
      </w:r>
      <w:proofErr w:type="gramStart"/>
      <w:r>
        <w:t>2</w:t>
      </w:r>
      <w:proofErr w:type="gramEnd"/>
      <w:r>
        <w:t xml:space="preserve"> включительно (комфортное);</w:t>
      </w:r>
    </w:p>
    <w:p w:rsidR="004B54A0" w:rsidRDefault="004B54A0">
      <w:pPr>
        <w:pStyle w:val="ConsPlusNormal"/>
        <w:ind w:firstLine="540"/>
        <w:jc w:val="both"/>
      </w:pPr>
      <w:r>
        <w:t>В - количество квартир с D свыше 45 м</w:t>
      </w:r>
      <w:proofErr w:type="gramStart"/>
      <w:r>
        <w:t>2</w:t>
      </w:r>
      <w:proofErr w:type="gramEnd"/>
      <w:r>
        <w:t xml:space="preserve"> (</w:t>
      </w:r>
      <w:proofErr w:type="spellStart"/>
      <w:r>
        <w:t>высококомфортное</w:t>
      </w:r>
      <w:proofErr w:type="spellEnd"/>
      <w:r>
        <w:t>).</w:t>
      </w:r>
    </w:p>
    <w:p w:rsidR="004B54A0" w:rsidRDefault="004B54A0">
      <w:pPr>
        <w:pStyle w:val="ConsPlusNormal"/>
        <w:ind w:firstLine="540"/>
        <w:jc w:val="both"/>
      </w:pPr>
      <w:r>
        <w:t xml:space="preserve">Для подсчета количества </w:t>
      </w:r>
      <w:proofErr w:type="spellStart"/>
      <w:r>
        <w:t>машино</w:t>
      </w:r>
      <w:proofErr w:type="spellEnd"/>
      <w:r>
        <w:t>-мест принимается:</w:t>
      </w:r>
    </w:p>
    <w:p w:rsidR="004B54A0" w:rsidRDefault="004B54A0">
      <w:pPr>
        <w:pStyle w:val="ConsPlusNormal"/>
        <w:ind w:firstLine="540"/>
        <w:jc w:val="both"/>
      </w:pPr>
      <w:r>
        <w:t>D до 30 м</w:t>
      </w:r>
      <w:proofErr w:type="gramStart"/>
      <w:r>
        <w:t>2</w:t>
      </w:r>
      <w:proofErr w:type="gramEnd"/>
      <w:r>
        <w:t xml:space="preserve"> включительно - 1,5 </w:t>
      </w:r>
      <w:proofErr w:type="spellStart"/>
      <w:r>
        <w:t>машино</w:t>
      </w:r>
      <w:proofErr w:type="spellEnd"/>
      <w:r>
        <w:t>-места;</w:t>
      </w:r>
    </w:p>
    <w:p w:rsidR="004B54A0" w:rsidRDefault="004B54A0">
      <w:pPr>
        <w:pStyle w:val="ConsPlusNormal"/>
        <w:ind w:firstLine="540"/>
        <w:jc w:val="both"/>
      </w:pPr>
      <w:r>
        <w:t>D свыше 30 до 45 м</w:t>
      </w:r>
      <w:proofErr w:type="gramStart"/>
      <w:r>
        <w:t>2</w:t>
      </w:r>
      <w:proofErr w:type="gramEnd"/>
      <w:r>
        <w:t xml:space="preserve"> включительно - 2 </w:t>
      </w:r>
      <w:proofErr w:type="spellStart"/>
      <w:r>
        <w:t>машино</w:t>
      </w:r>
      <w:proofErr w:type="spellEnd"/>
      <w:r>
        <w:t>-места;</w:t>
      </w:r>
    </w:p>
    <w:p w:rsidR="004B54A0" w:rsidRDefault="004B54A0">
      <w:pPr>
        <w:pStyle w:val="ConsPlusNormal"/>
        <w:ind w:firstLine="540"/>
        <w:jc w:val="both"/>
      </w:pPr>
      <w:r>
        <w:t>D свыше 45 м</w:t>
      </w:r>
      <w:proofErr w:type="gramStart"/>
      <w:r>
        <w:t>2</w:t>
      </w:r>
      <w:proofErr w:type="gramEnd"/>
      <w:r>
        <w:t xml:space="preserve"> - 2,5 </w:t>
      </w:r>
      <w:proofErr w:type="spellStart"/>
      <w:r>
        <w:t>машино</w:t>
      </w:r>
      <w:proofErr w:type="spellEnd"/>
      <w:r>
        <w:t>-места.</w:t>
      </w:r>
    </w:p>
    <w:p w:rsidR="004B54A0" w:rsidRDefault="004B54A0">
      <w:pPr>
        <w:pStyle w:val="ConsPlusNormal"/>
        <w:ind w:firstLine="540"/>
        <w:jc w:val="both"/>
      </w:pPr>
      <w:r>
        <w:t xml:space="preserve">Общая площадь квартиры, приходящаяся на 1 </w:t>
      </w:r>
      <w:proofErr w:type="gramStart"/>
      <w:r>
        <w:t>проживающего</w:t>
      </w:r>
      <w:proofErr w:type="gramEnd"/>
      <w:r>
        <w:t>, рассчитывается по формуле:</w:t>
      </w:r>
    </w:p>
    <w:p w:rsidR="004B54A0" w:rsidRDefault="004B54A0">
      <w:pPr>
        <w:pStyle w:val="ConsPlusNormal"/>
        <w:ind w:firstLine="540"/>
        <w:jc w:val="both"/>
      </w:pPr>
    </w:p>
    <w:p w:rsidR="004B54A0" w:rsidRDefault="004B54A0">
      <w:pPr>
        <w:pStyle w:val="ConsPlusNormal"/>
        <w:jc w:val="center"/>
      </w:pPr>
      <w:r>
        <w:t>D = S / N,</w:t>
      </w:r>
    </w:p>
    <w:p w:rsidR="004B54A0" w:rsidRDefault="004B54A0">
      <w:pPr>
        <w:pStyle w:val="ConsPlusNormal"/>
        <w:ind w:firstLine="540"/>
        <w:jc w:val="both"/>
      </w:pPr>
    </w:p>
    <w:p w:rsidR="004B54A0" w:rsidRDefault="004B54A0">
      <w:pPr>
        <w:pStyle w:val="ConsPlusNormal"/>
        <w:ind w:firstLine="540"/>
        <w:jc w:val="both"/>
      </w:pPr>
      <w:r>
        <w:t>где:</w:t>
      </w:r>
    </w:p>
    <w:p w:rsidR="004B54A0" w:rsidRDefault="004B54A0">
      <w:pPr>
        <w:pStyle w:val="ConsPlusNormal"/>
        <w:ind w:firstLine="540"/>
        <w:jc w:val="both"/>
      </w:pPr>
      <w:r>
        <w:t xml:space="preserve">D - общая площадь квартиры, приходящаяся на 1 </w:t>
      </w:r>
      <w:proofErr w:type="gramStart"/>
      <w:r>
        <w:t>проживающего</w:t>
      </w:r>
      <w:proofErr w:type="gramEnd"/>
      <w:r>
        <w:t>;</w:t>
      </w:r>
    </w:p>
    <w:p w:rsidR="004B54A0" w:rsidRDefault="004B54A0">
      <w:pPr>
        <w:pStyle w:val="ConsPlusNormal"/>
        <w:ind w:firstLine="540"/>
        <w:jc w:val="both"/>
      </w:pPr>
      <w:r>
        <w:t>S - общая площадь квартиры;</w:t>
      </w:r>
    </w:p>
    <w:p w:rsidR="004B54A0" w:rsidRDefault="004B54A0">
      <w:pPr>
        <w:pStyle w:val="ConsPlusNormal"/>
        <w:ind w:firstLine="540"/>
        <w:jc w:val="both"/>
      </w:pPr>
      <w:r>
        <w:t>N - количество жилых комнат в квартире;</w:t>
      </w:r>
    </w:p>
    <w:p w:rsidR="004B54A0" w:rsidRDefault="004B54A0">
      <w:pPr>
        <w:pStyle w:val="ConsPlusNormal"/>
        <w:ind w:firstLine="540"/>
        <w:jc w:val="both"/>
      </w:pPr>
      <w:bookmarkStart w:id="5" w:name="P80"/>
      <w:bookmarkEnd w:id="5"/>
      <w:r>
        <w:t xml:space="preserve">в) расчетные показатели минимально допустимого уровня обеспеченности объектов жилой застройки на территории Новокузнецкого городского округа </w:t>
      </w:r>
      <w:proofErr w:type="spellStart"/>
      <w:r>
        <w:t>машино</w:t>
      </w:r>
      <w:proofErr w:type="spellEnd"/>
      <w:r>
        <w:t>-местами на гостевых и временных автостоянках:</w:t>
      </w:r>
    </w:p>
    <w:p w:rsidR="004B54A0" w:rsidRDefault="004B54A0">
      <w:pPr>
        <w:pStyle w:val="ConsPlusNormal"/>
        <w:ind w:firstLine="540"/>
        <w:jc w:val="both"/>
      </w:pPr>
      <w:r>
        <w:t xml:space="preserve">при застройке блокированными домами - не менее 1 </w:t>
      </w:r>
      <w:proofErr w:type="spellStart"/>
      <w:r>
        <w:t>машино</w:t>
      </w:r>
      <w:proofErr w:type="spellEnd"/>
      <w:r>
        <w:t>-места на 3 квартиры;</w:t>
      </w:r>
    </w:p>
    <w:p w:rsidR="004B54A0" w:rsidRDefault="004B54A0">
      <w:pPr>
        <w:pStyle w:val="ConsPlusNormal"/>
        <w:ind w:firstLine="540"/>
        <w:jc w:val="both"/>
      </w:pPr>
      <w:r>
        <w:t xml:space="preserve">при застройке многоквартирными жилыми домами - не менее 0,5 </w:t>
      </w:r>
      <w:proofErr w:type="spellStart"/>
      <w:r>
        <w:t>машино</w:t>
      </w:r>
      <w:proofErr w:type="spellEnd"/>
      <w:r>
        <w:t>-места на 1 квартиру;</w:t>
      </w:r>
    </w:p>
    <w:p w:rsidR="004B54A0" w:rsidRDefault="004B54A0">
      <w:pPr>
        <w:pStyle w:val="ConsPlusNormal"/>
        <w:ind w:firstLine="540"/>
        <w:jc w:val="both"/>
      </w:pPr>
      <w:r>
        <w:t xml:space="preserve">при застройке индивидуальными жилыми домами - не менее 1 </w:t>
      </w:r>
      <w:proofErr w:type="spellStart"/>
      <w:r>
        <w:t>машино</w:t>
      </w:r>
      <w:proofErr w:type="spellEnd"/>
      <w:r>
        <w:t>-места на один дом с размещением в пределах земельного участка индивидуального жилого дома.</w:t>
      </w:r>
    </w:p>
    <w:p w:rsidR="004B54A0" w:rsidRDefault="004B54A0">
      <w:pPr>
        <w:pStyle w:val="ConsPlusNormal"/>
        <w:ind w:firstLine="540"/>
        <w:jc w:val="both"/>
      </w:pPr>
      <w:r>
        <w:lastRenderedPageBreak/>
        <w:t xml:space="preserve">Максимально допустимый уровень территориальной доступности </w:t>
      </w:r>
      <w:proofErr w:type="spellStart"/>
      <w:r>
        <w:t>машино</w:t>
      </w:r>
      <w:proofErr w:type="spellEnd"/>
      <w:r>
        <w:t xml:space="preserve">-мест на гостевых и временных автостоянках обеспечивается в границах земельного участка, предназначенного для размещения объектов многоэтажной, </w:t>
      </w:r>
      <w:proofErr w:type="spellStart"/>
      <w:r>
        <w:t>среднеэтажной</w:t>
      </w:r>
      <w:proofErr w:type="spellEnd"/>
      <w:r>
        <w:t>, малоэтажной и индивидуальной жилой застройки;</w:t>
      </w:r>
    </w:p>
    <w:p w:rsidR="004B54A0" w:rsidRDefault="004B54A0">
      <w:pPr>
        <w:pStyle w:val="ConsPlusNormal"/>
        <w:ind w:firstLine="540"/>
        <w:jc w:val="both"/>
      </w:pPr>
      <w:bookmarkStart w:id="6" w:name="P85"/>
      <w:bookmarkEnd w:id="6"/>
      <w:proofErr w:type="gramStart"/>
      <w:r>
        <w:t>г) расчетные показатели минимально допустимого уровня обеспеченности объектов обслуживания на территории Новокузнецкого городского округа объектами хранения автомототранспорта (</w:t>
      </w:r>
      <w:proofErr w:type="spellStart"/>
      <w:r>
        <w:t>машино</w:t>
      </w:r>
      <w:proofErr w:type="spellEnd"/>
      <w:r>
        <w:t xml:space="preserve">-местами на временных автостоянках) установлены в </w:t>
      </w:r>
      <w:hyperlink w:anchor="P89" w:history="1">
        <w:r>
          <w:rPr>
            <w:color w:val="0000FF"/>
          </w:rPr>
          <w:t>таблице</w:t>
        </w:r>
      </w:hyperlink>
      <w:r>
        <w:t>. Максимально допустимый уровень территориальной доступности временных автостоянок обеспечивается в границах земельного участка, предоставленного для размещения таких автостоянок, но не более 150 метров от входа в объекты обслуживания.</w:t>
      </w:r>
      <w:proofErr w:type="gramEnd"/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  <w:r>
        <w:t>Таблица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center"/>
      </w:pPr>
      <w:bookmarkStart w:id="7" w:name="P89"/>
      <w:bookmarkEnd w:id="7"/>
      <w:r>
        <w:t>Расчетные показатели обеспеченности объектов обслуживания</w:t>
      </w:r>
    </w:p>
    <w:p w:rsidR="004B54A0" w:rsidRDefault="004B54A0">
      <w:pPr>
        <w:pStyle w:val="ConsPlusNormal"/>
        <w:jc w:val="center"/>
      </w:pPr>
      <w:r>
        <w:t>на территории города Новокузнецка объектами хранения</w:t>
      </w:r>
    </w:p>
    <w:p w:rsidR="004B54A0" w:rsidRDefault="004B54A0">
      <w:pPr>
        <w:pStyle w:val="ConsPlusNormal"/>
        <w:jc w:val="center"/>
      </w:pPr>
      <w:proofErr w:type="gramStart"/>
      <w:r>
        <w:t>автомототранспорта (</w:t>
      </w:r>
      <w:proofErr w:type="spellStart"/>
      <w:r>
        <w:t>машино</w:t>
      </w:r>
      <w:proofErr w:type="spellEnd"/>
      <w:r>
        <w:t>-местами на временных</w:t>
      </w:r>
      <w:proofErr w:type="gramEnd"/>
    </w:p>
    <w:p w:rsidR="004B54A0" w:rsidRDefault="004B54A0">
      <w:pPr>
        <w:pStyle w:val="ConsPlusNormal"/>
        <w:jc w:val="center"/>
      </w:pPr>
      <w:proofErr w:type="gramStart"/>
      <w:r>
        <w:t>автостоянках</w:t>
      </w:r>
      <w:proofErr w:type="gramEnd"/>
      <w:r>
        <w:t>)</w:t>
      </w:r>
    </w:p>
    <w:p w:rsidR="004B54A0" w:rsidRDefault="004B54A0">
      <w:pPr>
        <w:sectPr w:rsidR="004B54A0" w:rsidSect="00323F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54A0" w:rsidRDefault="004B54A0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0"/>
        <w:gridCol w:w="2640"/>
        <w:gridCol w:w="2760"/>
      </w:tblGrid>
      <w:tr w:rsidR="004B54A0">
        <w:tc>
          <w:tcPr>
            <w:tcW w:w="4380" w:type="dxa"/>
          </w:tcPr>
          <w:p w:rsidR="004B54A0" w:rsidRDefault="004B54A0">
            <w:pPr>
              <w:pStyle w:val="ConsPlusNormal"/>
              <w:jc w:val="center"/>
            </w:pPr>
            <w:r>
              <w:t>Объект обслуживания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Показатели обеспеченности </w:t>
            </w:r>
            <w:proofErr w:type="spellStart"/>
            <w:r>
              <w:t>машино</w:t>
            </w:r>
            <w:proofErr w:type="spellEnd"/>
            <w:r>
              <w:t>-местами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Объекты дошкольного образования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Объект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Объекты начального общего, основного общего и среднего общего образования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Объект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Поликлиники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посещений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Больницы, профилактории, реабилитационные центры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коек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14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Интернаты и пансионаты для престарелых и инвалидов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30 коек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1, но не менее 12 </w:t>
            </w:r>
            <w:proofErr w:type="spellStart"/>
            <w:r>
              <w:t>машино</w:t>
            </w:r>
            <w:proofErr w:type="spellEnd"/>
            <w:r>
              <w:t>-мест на объект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Научно-исследовательские и проектные институты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Образовательные организации высшего образования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Преподаватели, сотрудники, студенты, занятые в одну смену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5 </w:t>
            </w:r>
            <w:proofErr w:type="spellStart"/>
            <w:r>
              <w:t>машино</w:t>
            </w:r>
            <w:proofErr w:type="spellEnd"/>
            <w:r>
              <w:t>-мест на 3 преподавателя (сотрудника) и 10 студентов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Профессиональные образовательные организации, организации дополнительного образования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Преподаватели, сотрудники, учащиеся, занятые в одну смену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5 </w:t>
            </w:r>
            <w:proofErr w:type="spellStart"/>
            <w:r>
              <w:t>машино</w:t>
            </w:r>
            <w:proofErr w:type="spellEnd"/>
            <w:r>
              <w:t>-мест на 3 преподавателя (сотрудника) и 10 учащихся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Центры обучения, самодеятельного творчества, клубы по интересам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Производственные здания и коммунально-складские объекты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proofErr w:type="gramStart"/>
            <w:r>
              <w:t>Работающие</w:t>
            </w:r>
            <w:proofErr w:type="gramEnd"/>
            <w:r>
              <w:t xml:space="preserve"> в двух смежных сменах, 8 чел.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 xml:space="preserve">Магазины розничной торговли, встроенные в жилые дома, торговой </w:t>
            </w:r>
            <w:r>
              <w:lastRenderedPageBreak/>
              <w:t>площадью до 200 кв. м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lastRenderedPageBreak/>
              <w:t>100 м</w:t>
            </w:r>
            <w:proofErr w:type="gramStart"/>
            <w:r>
              <w:t>2</w:t>
            </w:r>
            <w:proofErr w:type="gramEnd"/>
            <w:r>
              <w:t xml:space="preserve"> торговой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lastRenderedPageBreak/>
              <w:t>Магазины розничной торговли, встроенные в жилые дома, торговой площадью более 200 кв. м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торговой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Отдельно стоящие объекты торгового назначения с широким ассортиментом товаров (торговые центры, торговые комплексы, супермаркеты, универсамы, универмаги и т.д.)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торговой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Рынки универсальные и непродовольственные, рынки продовольственные и сельскохозяйственные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50 торговых мест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Объекты управления, кредитно-финансовые, суды, общественные организации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работающих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40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Банки и банковские объекты: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с операционными залами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6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без операционных залов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Офисы специализированных фирм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30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Нотариальные конторы, юридические консультации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 сотрудник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3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Рестораны, кафе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посадочных мест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Бани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4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lastRenderedPageBreak/>
              <w:t>Пункты приема химчисток, прачечных, ремонтных мастерских, специализированные центры по обслуживанию бытовой техники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2 рабочих места приемщика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Салоны ритуальных услуг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30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Кладбища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5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1, но не менее 60 </w:t>
            </w:r>
            <w:proofErr w:type="spellStart"/>
            <w:r>
              <w:t>машино</w:t>
            </w:r>
            <w:proofErr w:type="spellEnd"/>
            <w:r>
              <w:t>-мест на объект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Крематории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5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1, но не менее 12 </w:t>
            </w:r>
            <w:proofErr w:type="spellStart"/>
            <w:r>
              <w:t>машино</w:t>
            </w:r>
            <w:proofErr w:type="spellEnd"/>
            <w:r>
              <w:t>-мест на 1 ритуальный зал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Ателье, салоны-парикмахерские, салоны красоты, солярии, салоны мод, свадебные салоны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6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Химчистки, прачечные, ремонтные мастерские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2 работающих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Развлекательные центры, дискотеки, ночные клубы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Музеи, галереи, выставочные залы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30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Театры, концертные залы, киноцентры, кинотеатры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зрительных мест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30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Городские библиотеки, интернет-кафе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Религиозные объекты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50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10, но не менее 12 </w:t>
            </w:r>
            <w:proofErr w:type="spellStart"/>
            <w:r>
              <w:t>машино</w:t>
            </w:r>
            <w:proofErr w:type="spellEnd"/>
            <w:r>
              <w:t>-мест на объект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Спортивные комплексы и стадионы с трибунами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30 мест на трибунах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7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lastRenderedPageBreak/>
              <w:t>Специализированные спортивные клубы и комплексы (теннис, конный спорт, горные лыжи)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2, но не менее 12 </w:t>
            </w:r>
            <w:proofErr w:type="spellStart"/>
            <w:r>
              <w:t>машино</w:t>
            </w:r>
            <w:proofErr w:type="spellEnd"/>
            <w:r>
              <w:t>-мест на объект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Аквапарки, бассейны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 xml:space="preserve">3, но не менее 12 </w:t>
            </w:r>
            <w:proofErr w:type="spellStart"/>
            <w:r>
              <w:t>машино</w:t>
            </w:r>
            <w:proofErr w:type="spellEnd"/>
            <w:r>
              <w:t>-мест на объект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Бильярдные, кегельбаны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9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Оздоровительные комплексы (</w:t>
            </w:r>
            <w:proofErr w:type="gramStart"/>
            <w:r>
              <w:t>фитнес-клубы</w:t>
            </w:r>
            <w:proofErr w:type="gramEnd"/>
            <w:r>
              <w:t>, спортивные и тренажерные залы)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</w:t>
            </w:r>
            <w:proofErr w:type="gramStart"/>
            <w:r>
              <w:t>2</w:t>
            </w:r>
            <w:proofErr w:type="gramEnd"/>
            <w:r>
              <w:t xml:space="preserve"> общей площади объекта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5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Сады, скверы жилых районов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12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Общегородские парки, парки планировочных районов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18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Пляжи и парки в зонах отдыха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36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Лесопарки и заповедники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Базы кратковременного отдыха (спортивные, лыжные, рыболовные и др.)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40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отдыхающих и обслуживающего персонала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Мотели и кемпинги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отдыхающих и обслуживающего персонала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По расчетной вместимости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 xml:space="preserve">Предприятия общественного питания, </w:t>
            </w:r>
            <w:r>
              <w:lastRenderedPageBreak/>
              <w:t>торговли и коммунально-бытового обслуживания в зонах отдыха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lastRenderedPageBreak/>
              <w:t xml:space="preserve">100 отдыхающих и </w:t>
            </w:r>
            <w:r>
              <w:lastRenderedPageBreak/>
              <w:t>обслуживающего персонала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lastRenderedPageBreak/>
              <w:t>30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lastRenderedPageBreak/>
              <w:t>Предприятия торговли и коммунально-бытового обслуживания в садоводческих товариществах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 единовременных посетителей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8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Садоводческие, огороднические, дачные объединения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 участков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Гостиницы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мест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28</w:t>
            </w:r>
          </w:p>
        </w:tc>
      </w:tr>
      <w:tr w:rsidR="004B54A0">
        <w:tc>
          <w:tcPr>
            <w:tcW w:w="4380" w:type="dxa"/>
          </w:tcPr>
          <w:p w:rsidR="004B54A0" w:rsidRDefault="004B54A0">
            <w:pPr>
              <w:pStyle w:val="ConsPlusNormal"/>
            </w:pPr>
            <w:r>
              <w:t>Железнодорожные вокзалы, автовокзалы</w:t>
            </w:r>
          </w:p>
        </w:tc>
        <w:tc>
          <w:tcPr>
            <w:tcW w:w="2640" w:type="dxa"/>
          </w:tcPr>
          <w:p w:rsidR="004B54A0" w:rsidRDefault="004B54A0">
            <w:pPr>
              <w:pStyle w:val="ConsPlusNormal"/>
              <w:jc w:val="center"/>
            </w:pPr>
            <w:r>
              <w:t>100 пассажиров дальнего следования в час "пик"</w:t>
            </w:r>
          </w:p>
        </w:tc>
        <w:tc>
          <w:tcPr>
            <w:tcW w:w="2760" w:type="dxa"/>
          </w:tcPr>
          <w:p w:rsidR="004B54A0" w:rsidRDefault="004B54A0">
            <w:pPr>
              <w:pStyle w:val="ConsPlusNormal"/>
              <w:jc w:val="center"/>
            </w:pPr>
            <w:r>
              <w:t>30</w:t>
            </w:r>
          </w:p>
        </w:tc>
      </w:tr>
      <w:tr w:rsidR="004B54A0">
        <w:tc>
          <w:tcPr>
            <w:tcW w:w="9780" w:type="dxa"/>
            <w:gridSpan w:val="3"/>
          </w:tcPr>
          <w:p w:rsidR="004B54A0" w:rsidRDefault="004B54A0">
            <w:pPr>
              <w:pStyle w:val="ConsPlusNormal"/>
            </w:pPr>
            <w:r>
              <w:t>Примечания:</w:t>
            </w:r>
          </w:p>
          <w:p w:rsidR="004B54A0" w:rsidRDefault="004B54A0">
            <w:pPr>
              <w:pStyle w:val="ConsPlusNormal"/>
              <w:jc w:val="both"/>
            </w:pPr>
            <w:r>
              <w:t xml:space="preserve">1. В отношении объектов, не указанных в настоящей таблице, расчетные показатели обеспеченности </w:t>
            </w:r>
            <w:proofErr w:type="spellStart"/>
            <w:r>
              <w:t>машино</w:t>
            </w:r>
            <w:proofErr w:type="spellEnd"/>
            <w:r>
              <w:t>-местами установлены действующим законодательством.</w:t>
            </w:r>
          </w:p>
          <w:p w:rsidR="004B54A0" w:rsidRDefault="004B54A0">
            <w:pPr>
              <w:pStyle w:val="ConsPlusNormal"/>
              <w:jc w:val="both"/>
            </w:pPr>
            <w:r>
              <w:t xml:space="preserve">2. Временные автостоянки размещаются вне территории объектов дошкольного, начального общего и среднего (полного) общего образования на нормативном расстоянии от границ земельного участка в соответствии с требованиями действующего законодательства исходя из количества </w:t>
            </w:r>
            <w:proofErr w:type="spellStart"/>
            <w:r>
              <w:t>машино</w:t>
            </w:r>
            <w:proofErr w:type="spellEnd"/>
            <w:r>
              <w:t>-мест</w:t>
            </w:r>
          </w:p>
        </w:tc>
      </w:tr>
    </w:tbl>
    <w:p w:rsidR="004B54A0" w:rsidRDefault="004B54A0">
      <w:pPr>
        <w:sectPr w:rsidR="004B54A0">
          <w:pgSz w:w="16838" w:h="11905"/>
          <w:pgMar w:top="1701" w:right="1134" w:bottom="850" w:left="1134" w:header="0" w:footer="0" w:gutter="0"/>
          <w:cols w:space="720"/>
        </w:sectPr>
      </w:pPr>
    </w:p>
    <w:p w:rsidR="004B54A0" w:rsidRDefault="004B54A0">
      <w:pPr>
        <w:pStyle w:val="ConsPlusNormal"/>
        <w:ind w:firstLine="540"/>
        <w:jc w:val="both"/>
      </w:pPr>
    </w:p>
    <w:p w:rsidR="004B54A0" w:rsidRDefault="004B54A0">
      <w:pPr>
        <w:pStyle w:val="ConsPlusNormal"/>
        <w:ind w:firstLine="540"/>
        <w:jc w:val="both"/>
      </w:pPr>
      <w:r>
        <w:t>5. Обоснование расчетных показателей минимально допустимого уровня обеспеченности объектами хранения автомототранспорта на территории Новокузнецкого городского округа и максимально допустимого уровня территориальной доступности таких объектов для населения - расчетные показатели установлены с учетом:</w:t>
      </w:r>
    </w:p>
    <w:p w:rsidR="004B54A0" w:rsidRDefault="004B54A0">
      <w:pPr>
        <w:pStyle w:val="ConsPlusNormal"/>
        <w:ind w:firstLine="540"/>
        <w:jc w:val="both"/>
      </w:pPr>
      <w:r>
        <w:t>социально-демографического состава и плотности населения Новокузнецкого городского округа;</w:t>
      </w:r>
    </w:p>
    <w:p w:rsidR="004B54A0" w:rsidRDefault="004B54A0">
      <w:pPr>
        <w:pStyle w:val="ConsPlusNormal"/>
        <w:ind w:firstLine="540"/>
        <w:jc w:val="both"/>
      </w:pPr>
      <w:r>
        <w:t>муниципальных программ Новокузнецкого городского округа;</w:t>
      </w:r>
    </w:p>
    <w:p w:rsidR="004B54A0" w:rsidRDefault="004B54A0">
      <w:pPr>
        <w:pStyle w:val="ConsPlusNormal"/>
        <w:ind w:firstLine="540"/>
        <w:jc w:val="both"/>
      </w:pPr>
      <w:r>
        <w:t>плотности улично-дорожной сети Новокузнецкого городского округа;</w:t>
      </w:r>
    </w:p>
    <w:p w:rsidR="004B54A0" w:rsidRDefault="004B54A0">
      <w:pPr>
        <w:pStyle w:val="ConsPlusNormal"/>
        <w:ind w:firstLine="540"/>
        <w:jc w:val="both"/>
      </w:pPr>
      <w:r>
        <w:t>уровня развития общественного транспорта Новокузнецкого городского округа и расчетного уровня автомобилизации не менее 532 автомототранспортных средств на 1000 жителей Новокузнецкого городского округа.</w:t>
      </w:r>
    </w:p>
    <w:p w:rsidR="004B54A0" w:rsidRDefault="004B54A0">
      <w:pPr>
        <w:pStyle w:val="ConsPlusNormal"/>
        <w:ind w:firstLine="540"/>
        <w:jc w:val="both"/>
      </w:pPr>
      <w:r>
        <w:t>6. Правила и область применения расчетных показателей:</w:t>
      </w:r>
    </w:p>
    <w:p w:rsidR="004B54A0" w:rsidRDefault="004B54A0">
      <w:pPr>
        <w:pStyle w:val="ConsPlusNormal"/>
        <w:ind w:firstLine="540"/>
        <w:jc w:val="both"/>
      </w:pPr>
      <w:r>
        <w:t xml:space="preserve">а) указанных в </w:t>
      </w:r>
      <w:hyperlink w:anchor="P58" w:history="1">
        <w:r>
          <w:rPr>
            <w:color w:val="0000FF"/>
          </w:rPr>
          <w:t>подпункте "а" пункта 4</w:t>
        </w:r>
      </w:hyperlink>
      <w:r>
        <w:t xml:space="preserve"> настоящих местных нормативов:</w:t>
      </w:r>
    </w:p>
    <w:p w:rsidR="004B54A0" w:rsidRDefault="004B54A0">
      <w:pPr>
        <w:pStyle w:val="ConsPlusNormal"/>
        <w:ind w:firstLine="540"/>
        <w:jc w:val="both"/>
      </w:pPr>
      <w:r>
        <w:t>обеспечение территории жилых зон автостоянками для постоянного хранения автомототранспорта осуществляется в размере 90% от расчетного количества автомототранспортных средств, а временными и гостевыми автостоянками - в размере 80% от расчетного количества автомототранспортных сре</w:t>
      </w:r>
      <w:proofErr w:type="gramStart"/>
      <w:r>
        <w:t>дств пр</w:t>
      </w:r>
      <w:proofErr w:type="gramEnd"/>
      <w:r>
        <w:t>и пешеходной доступности не более 800 м;</w:t>
      </w:r>
    </w:p>
    <w:p w:rsidR="004B54A0" w:rsidRDefault="004B54A0">
      <w:pPr>
        <w:pStyle w:val="ConsPlusNormal"/>
        <w:ind w:firstLine="540"/>
        <w:jc w:val="both"/>
      </w:pPr>
      <w:r>
        <w:t>обеспечение иных элементов планировочной структуры временными автостоянками осуществляется в размере 100% от расчетного количества, в том числе общегородских и специализированных центров, зон массового отдыха населения, улично-дорожной сети, граничащей с кварталами, микрорайонами (при этом поперечный профиль улиц и дорог увеличивается на ширину объекта хранения автомототранспорта);</w:t>
      </w:r>
    </w:p>
    <w:p w:rsidR="004B54A0" w:rsidRDefault="004B54A0">
      <w:pPr>
        <w:pStyle w:val="ConsPlusNormal"/>
        <w:ind w:firstLine="540"/>
        <w:jc w:val="both"/>
      </w:pPr>
      <w:r>
        <w:t xml:space="preserve">б) указанных в </w:t>
      </w:r>
      <w:hyperlink w:anchor="P60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80" w:history="1">
        <w:r>
          <w:rPr>
            <w:color w:val="0000FF"/>
          </w:rPr>
          <w:t>"в"</w:t>
        </w:r>
      </w:hyperlink>
      <w:r>
        <w:t xml:space="preserve"> и </w:t>
      </w:r>
      <w:hyperlink w:anchor="P85" w:history="1">
        <w:r>
          <w:rPr>
            <w:color w:val="0000FF"/>
          </w:rPr>
          <w:t>"г" пункта 4</w:t>
        </w:r>
      </w:hyperlink>
      <w:r>
        <w:t xml:space="preserve"> настоящих местных нормативов:</w:t>
      </w:r>
    </w:p>
    <w:p w:rsidR="004B54A0" w:rsidRDefault="004B54A0">
      <w:pPr>
        <w:pStyle w:val="ConsPlusNormal"/>
        <w:ind w:firstLine="540"/>
        <w:jc w:val="both"/>
      </w:pPr>
      <w:r>
        <w:t xml:space="preserve">расчетные показатели минимально допустимого уровня обеспеченности </w:t>
      </w:r>
      <w:proofErr w:type="spellStart"/>
      <w:r>
        <w:t>машино</w:t>
      </w:r>
      <w:proofErr w:type="spellEnd"/>
      <w:r>
        <w:t xml:space="preserve">-местами объектов многоэтажной жилой застройки со встроенными объектами обслуживания рассчитываются как сумма </w:t>
      </w:r>
      <w:proofErr w:type="spellStart"/>
      <w:r>
        <w:t>машино</w:t>
      </w:r>
      <w:proofErr w:type="spellEnd"/>
      <w:r>
        <w:t xml:space="preserve">-мест для постоянного хранения, </w:t>
      </w:r>
      <w:proofErr w:type="spellStart"/>
      <w:r>
        <w:t>машино</w:t>
      </w:r>
      <w:proofErr w:type="spellEnd"/>
      <w:r>
        <w:t xml:space="preserve">-мест на гостевых автостоянках и </w:t>
      </w:r>
      <w:proofErr w:type="spellStart"/>
      <w:r>
        <w:t>машино</w:t>
      </w:r>
      <w:proofErr w:type="spellEnd"/>
      <w:r>
        <w:t>-мест на временных автостоянках для встроенных объектов обслуживания;</w:t>
      </w:r>
    </w:p>
    <w:p w:rsidR="004B54A0" w:rsidRDefault="004B54A0">
      <w:pPr>
        <w:pStyle w:val="ConsPlusNormal"/>
        <w:ind w:firstLine="540"/>
        <w:jc w:val="both"/>
      </w:pPr>
      <w:r>
        <w:t xml:space="preserve">расчетные показатели обеспеченности объектов многоэтажной жилой застройки </w:t>
      </w:r>
      <w:proofErr w:type="spellStart"/>
      <w:r>
        <w:t>машино</w:t>
      </w:r>
      <w:proofErr w:type="spellEnd"/>
      <w:r>
        <w:t>-местами для постоянного хранения автомототранспорта обеспечиваются в границах жилого района не менее 50% от расчетного количества, остальные 50% размещаются в пределах максимальной территориальной доступности не более 800 метров от объектов многоэтажной жилой застройки;</w:t>
      </w:r>
    </w:p>
    <w:p w:rsidR="004B54A0" w:rsidRDefault="004B54A0">
      <w:pPr>
        <w:pStyle w:val="ConsPlusNormal"/>
        <w:ind w:firstLine="540"/>
        <w:jc w:val="both"/>
      </w:pPr>
      <w:r>
        <w:t xml:space="preserve">въезды-выезды с автостоянок вместимостью свыше 100 </w:t>
      </w:r>
      <w:proofErr w:type="spellStart"/>
      <w:r>
        <w:t>машино</w:t>
      </w:r>
      <w:proofErr w:type="spellEnd"/>
      <w:r>
        <w:t xml:space="preserve">-мест, расположенных не в границах улично-дорожной сети Новокузнецкого городского округа, организовываются на улично-дорожную сеть города, исключая организацию движения автомототранспорта по </w:t>
      </w:r>
      <w:proofErr w:type="spellStart"/>
      <w:r>
        <w:lastRenderedPageBreak/>
        <w:t>внутридворовым</w:t>
      </w:r>
      <w:proofErr w:type="spellEnd"/>
      <w:r>
        <w:t xml:space="preserve"> проездам, парковым дорогам и велосипедным дорожкам, пересечение пешеходных путей. Указанные въезды-выезды должны быть изолированы от площадок для отдыха, игровых и спортивных площадок.</w:t>
      </w:r>
    </w:p>
    <w:p w:rsidR="004B54A0" w:rsidRDefault="004B54A0">
      <w:pPr>
        <w:pStyle w:val="ConsPlusNormal"/>
        <w:ind w:firstLine="540"/>
        <w:jc w:val="both"/>
      </w:pPr>
      <w:r>
        <w:t>7. Местные нормативы обязательны для всех субъектов градостроительных отношений, осуществляющих градостроительную деятельность на территории Новокузнецкого городского округа.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  <w:r>
        <w:t>Председатель</w:t>
      </w:r>
    </w:p>
    <w:p w:rsidR="004B54A0" w:rsidRDefault="004B54A0">
      <w:pPr>
        <w:pStyle w:val="ConsPlusNormal"/>
        <w:jc w:val="right"/>
      </w:pPr>
      <w:r>
        <w:t>Новокузнецкого городского Совета</w:t>
      </w:r>
    </w:p>
    <w:p w:rsidR="004B54A0" w:rsidRDefault="004B54A0">
      <w:pPr>
        <w:pStyle w:val="ConsPlusNormal"/>
        <w:jc w:val="right"/>
      </w:pPr>
      <w:r>
        <w:t>народных депутатов</w:t>
      </w:r>
    </w:p>
    <w:p w:rsidR="004B54A0" w:rsidRDefault="004B54A0">
      <w:pPr>
        <w:pStyle w:val="ConsPlusNormal"/>
        <w:jc w:val="right"/>
      </w:pPr>
      <w:r>
        <w:t>С.И.КОРНЕЕВ</w:t>
      </w: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jc w:val="right"/>
      </w:pPr>
    </w:p>
    <w:p w:rsidR="004B54A0" w:rsidRDefault="004B54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0893" w:rsidRDefault="008C0893"/>
    <w:sectPr w:rsidR="008C0893" w:rsidSect="00EB5A1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A0"/>
    <w:rsid w:val="004B54A0"/>
    <w:rsid w:val="008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485279FC18DC382841F5C1930E43F2809D08DED9CCDE7D8B99E0B96EFE72FAF51A21210CB490FEh8JB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485279FC18DC382841EBCC85621CFE86915ED0DCC5D52BD3C6BBE439F778ADB255786348B899FD8D6DD2h0J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485279FC18DC382841F5C1930E43F2809207DDDCC5DE7D8B99E0B96EFE72FAF51A212505hBJ3C" TargetMode="External"/><Relationship Id="rId5" Type="http://schemas.openxmlformats.org/officeDocument/2006/relationships/hyperlink" Target="consultantplus://offline/ref=84485279FC18DC382841F5C1930E43F2809D08DED9CCDE7D8B99E0B96EFE72FAF51A21210CB490F8h8JB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2592</Words>
  <Characters>14779</Characters>
  <Application>Microsoft Office Word</Application>
  <DocSecurity>0</DocSecurity>
  <Lines>123</Lines>
  <Paragraphs>34</Paragraphs>
  <ScaleCrop>false</ScaleCrop>
  <Company/>
  <LinksUpToDate>false</LinksUpToDate>
  <CharactersWithSpaces>17337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jilina</cp:lastModifiedBy>
  <cp:revision>1</cp:revision>
  <dcterms:created xsi:type="dcterms:W3CDTF">2015-11-11T02:09:00Z</dcterms:created>
  <dcterms:modified xsi:type="dcterms:W3CDTF">2015-11-11T02:11:00Z</dcterms:modified>
</cp:coreProperties>
</file>